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Sermon Notes for Sunday, June 22, 2025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23 I tell you the truth, you can say to this mountain,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‘May you be lifted up and thrown into the sea,’ 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and it will happen. But you must really believe it will happen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and have no doubt in your heart.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24 I tell you, you can pray for anything, and if you believe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that you’ve received it; it will be yours.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Mark 11:23-24 NLT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1d1d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center"/>
        <w:rPr>
          <w:rFonts w:ascii="Verdana" w:cs="Verdana" w:eastAsia="Verdana" w:hAnsi="Verdana"/>
          <w:b w:val="1"/>
          <w:color w:val="1d1d1d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1d1d1d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color w:val="1d1d1d"/>
          <w:sz w:val="28"/>
          <w:szCs w:val="28"/>
          <w:u w:val="single"/>
          <w:rtl w:val="0"/>
        </w:rPr>
        <w:t xml:space="preserve">Voice-Activated Faith</w:t>
      </w:r>
      <w:r w:rsidDel="00000000" w:rsidR="00000000" w:rsidRPr="00000000">
        <w:rPr>
          <w:rFonts w:ascii="Verdana" w:cs="Verdana" w:eastAsia="Verdana" w:hAnsi="Verdana"/>
          <w:b w:val="1"/>
          <w:color w:val="1d1d1d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1d1d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1d1d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Verdana" w:cs="Verdana" w:eastAsia="Verdana" w:hAnsi="Verdana"/>
          <w:color w:val="1d1d1d"/>
          <w:sz w:val="20"/>
          <w:szCs w:val="20"/>
        </w:rPr>
      </w:pPr>
      <w:bookmarkStart w:colFirst="0" w:colLast="0" w:name="_heading=h.2n81znn4zan3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Faith must not only be believed what’s in our heart but also spoken with our mouth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1d1d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1) Stop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d1d1d"/>
          <w:u w:val="single"/>
          <w:rtl w:val="0"/>
        </w:rPr>
        <w:t xml:space="preserve">Complaining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d1d1d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0" w:lineRule="auto"/>
        <w:ind w:left="1440" w:right="144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1440" w:right="144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 Thessalonians 5:18 (NIV)</w:t>
      </w:r>
    </w:p>
    <w:p w:rsidR="00000000" w:rsidDel="00000000" w:rsidP="00000000" w:rsidRDefault="00000000" w:rsidRPr="00000000" w14:paraId="00000013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“Give thanks in all circumstances; for this is God’s will for you in Christ Jesus.”</w:t>
      </w:r>
    </w:p>
    <w:p w:rsidR="00000000" w:rsidDel="00000000" w:rsidP="00000000" w:rsidRDefault="00000000" w:rsidRPr="00000000" w14:paraId="00000014">
      <w:pPr>
        <w:spacing w:after="0" w:lineRule="auto"/>
        <w:ind w:left="1440" w:right="144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2)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Speak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d1d1d"/>
          <w:u w:val="single"/>
          <w:rtl w:val="0"/>
        </w:rPr>
        <w:t xml:space="preserve">What You Believe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1440" w:right="144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 Corinthians 4:13 (NIV)</w:t>
      </w:r>
    </w:p>
    <w:p w:rsidR="00000000" w:rsidDel="00000000" w:rsidP="00000000" w:rsidRDefault="00000000" w:rsidRPr="00000000" w14:paraId="00000018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“It is written: ‘I believed; therefore I have spoken.’ Since we have that same spirit of faith, we also believe and therefore speak.”</w:t>
      </w:r>
    </w:p>
    <w:p w:rsidR="00000000" w:rsidDel="00000000" w:rsidP="00000000" w:rsidRDefault="00000000" w:rsidRPr="00000000" w14:paraId="00000019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3)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Use </w:t>
      </w:r>
      <w:r w:rsidDel="00000000" w:rsidR="00000000" w:rsidRPr="00000000">
        <w:rPr>
          <w:rFonts w:ascii="Verdana" w:cs="Verdana" w:eastAsia="Verdana" w:hAnsi="Verdana"/>
          <w:b w:val="1"/>
          <w:color w:val="1d1d1d"/>
          <w:u w:val="single"/>
          <w:rtl w:val="0"/>
        </w:rPr>
        <w:t xml:space="preserve">Your words to build yourself up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440" w:right="144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Ephesians 4:29 (NIV)</w:t>
      </w:r>
    </w:p>
    <w:p w:rsidR="00000000" w:rsidDel="00000000" w:rsidP="00000000" w:rsidRDefault="00000000" w:rsidRPr="00000000" w14:paraId="0000001D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“Do not let any unwholesome talk come out of your mouths, but only what is helpful for building others up that it may benefit those who listen.”</w:t>
      </w:r>
    </w:p>
    <w:p w:rsidR="00000000" w:rsidDel="00000000" w:rsidP="00000000" w:rsidRDefault="00000000" w:rsidRPr="00000000" w14:paraId="0000001E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4)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Choose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the Right People to Help You</w:t>
      </w:r>
    </w:p>
    <w:p w:rsidR="00000000" w:rsidDel="00000000" w:rsidP="00000000" w:rsidRDefault="00000000" w:rsidRPr="00000000" w14:paraId="00000024">
      <w:pPr>
        <w:spacing w:after="0" w:lineRule="auto"/>
        <w:ind w:left="1440" w:righ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440" w:right="144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Proverbs 13:20 (NLT)</w:t>
      </w:r>
    </w:p>
    <w:p w:rsidR="00000000" w:rsidDel="00000000" w:rsidP="00000000" w:rsidRDefault="00000000" w:rsidRPr="00000000" w14:paraId="00000026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“Walk with the wise and become wise; associate with fools and get in trouble.”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5)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Do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Your Best, God Will Do The 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440" w:right="144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Colossians 3:23 (NIV)</w:t>
      </w:r>
    </w:p>
    <w:p w:rsidR="00000000" w:rsidDel="00000000" w:rsidP="00000000" w:rsidRDefault="00000000" w:rsidRPr="00000000" w14:paraId="0000002B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“Whatever you do, work at it with all your heart, as working for the Lord, not for human masters.”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omic Sans MS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8E79D3"/>
  </w:style>
  <w:style w:type="paragraph" w:styleId="Heading1">
    <w:name w:val="heading 1"/>
    <w:basedOn w:val="Normal"/>
    <w:next w:val="Normal"/>
    <w:link w:val="Heading1Char"/>
    <w:uiPriority w:val="9"/>
    <w:qFormat w:val="1"/>
    <w:rsid w:val="008E79D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E79D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E79D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E79D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E79D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E79D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E79D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E79D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E79D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E79D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E79D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E79D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E79D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E79D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E79D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E79D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E79D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E79D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E79D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79D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E79D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E79D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E79D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E79D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E79D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E79D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E79D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E79D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E79D3"/>
    <w:rPr>
      <w:b w:val="1"/>
      <w:bCs w:val="1"/>
      <w:smallCaps w:val="1"/>
      <w:color w:val="0f4761" w:themeColor="accent1" w:themeShade="0000BF"/>
      <w:spacing w:val="5"/>
    </w:rPr>
  </w:style>
  <w:style w:type="character" w:styleId="Strong">
    <w:name w:val="Strong"/>
    <w:basedOn w:val="DefaultParagraphFont"/>
    <w:uiPriority w:val="22"/>
    <w:qFormat w:val="1"/>
    <w:rsid w:val="008E79D3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MonxuF6jVbY8vE4Y9M/ksA/Kw==">CgMxLjAyDmguMm44MXpubjR6YW4zOAByITEycmZBTjZtLWRJYkx3UlljUnA2N3NvSVd3OWVsYTYtSg==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2025-06-20T05:20:00Z</dcterms:created>
  <dc:creator>William Butler</dc:creator>
</cp:coreProperties>
</file>